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Ангарская межрайонная природоохранная прокуратура разъясняет о  вопросах оснащения промышленных объектов системами автоматического контроля (САК) выбросов загрязняющих веществ.</w:t>
      </w:r>
    </w:p>
    <w:p w14:paraId="04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законодательством Российской Федерации: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стационарные источники выбросов на объектах I категории должны быть оснащены системами автоматического контроля (п. 9 ст. 67 Федерального закона «Об охране окружающей среды»); 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данное требование также распространяется на квотируемые объекты I–II категории (ч. 18 ст. 5 Федерального закона от 26.07.2019 № 195-ФЗ). 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автоматического контроля – это комплекс технических средств, который: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в режиме реального времени измеряет и учитывает показатели выбросов;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автоматически фиксирует полученные данные;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передает данные в государственный реестр объектов, оказывающих негативное воздействие на окружающую среду.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Порядок создания и эксплуатации таких систем утверждён Постановлением Правительства РФ от 29.05.2025 № 779. Документ детально прописывает все этапы: от </w:t>
      </w:r>
      <w:r>
        <w:rPr>
          <w:rFonts w:ascii="Times New Roman" w:hAnsi="Times New Roman"/>
          <w:sz w:val="28"/>
        </w:rPr>
        <w:t>предпроектного</w:t>
      </w:r>
      <w:r>
        <w:rPr>
          <w:rFonts w:ascii="Times New Roman" w:hAnsi="Times New Roman"/>
          <w:sz w:val="28"/>
        </w:rPr>
        <w:t xml:space="preserve"> обследования (нужно определить, какие именно источники и какие загрязняющие вещества подлежат контролю) и разработки программы до проектирования, монтажа, приёмки и ввода системы в эксплуатацию. </w:t>
      </w: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Несоблюдение требований к оснащению САК влечет административную ответственность.</w:t>
      </w: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Липицке межрайонная природоохранная прокуратура выявила, что энергетическая компания (использующая объекты I категории) не смонтировала и не ввела в эксплуатацию САК к установленному сроку. Юридическое лицо привлечено к ответственности по ч. 1 ст. 8.51 КоАП РФ. После бездействия компании прокуратура обратилась в суд – суд обязал оснастить объекты системой.</w:t>
      </w:r>
    </w:p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/>
      <w:jc w:val="both"/>
    </w:pPr>
    <w:rPr>
      <w:rFonts w:ascii="XO Thames" w:hAnsi="XO Thames"/>
    </w:rPr>
  </w:style>
  <w:style w:styleId="Style_7_ch" w:type="character">
    <w:name w:val="Endnote"/>
    <w:link w:val="Style_7"/>
    <w:rPr>
      <w:rFonts w:ascii="XO Thames" w:hAnsi="XO Thames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alloon Text"/>
    <w:basedOn w:val="Style_2"/>
    <w:link w:val="Style_9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2_ch"/>
    <w:link w:val="Style_9"/>
    <w:rPr>
      <w:rFonts w:ascii="Segoe UI" w:hAnsi="Segoe UI"/>
      <w:sz w:val="18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toc 3"/>
    <w:next w:val="Style_2"/>
    <w:link w:val="Style_11_ch"/>
    <w:uiPriority w:val="39"/>
    <w:pPr>
      <w:widowControl w:val="1"/>
      <w:ind w:left="400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Гиперссылка1"/>
    <w:link w:val="Style_12_ch"/>
    <w:rPr>
      <w:color w:val="0000FF"/>
      <w:u w:val="single"/>
    </w:rPr>
  </w:style>
  <w:style w:styleId="Style_12_ch" w:type="character">
    <w:name w:val="Гиперссылка1"/>
    <w:link w:val="Style_12"/>
    <w:rPr>
      <w:color w:val="0000FF"/>
      <w:u w:val="single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heading 1"/>
    <w:next w:val="Style_2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footer"/>
    <w:basedOn w:val="Style_2"/>
    <w:link w:val="Style_1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6_ch" w:type="character">
    <w:name w:val="footer"/>
    <w:basedOn w:val="Style_2_ch"/>
    <w:link w:val="Style_16"/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/>
      <w:jc w:val="both"/>
    </w:pPr>
    <w:rPr>
      <w:rFonts w:ascii="XO Thames" w:hAnsi="XO Thames"/>
    </w:rPr>
  </w:style>
  <w:style w:styleId="Style_18_ch" w:type="character">
    <w:name w:val="Footnote"/>
    <w:link w:val="Style_18"/>
    <w:rPr>
      <w:rFonts w:ascii="XO Thames" w:hAnsi="XO Thames"/>
    </w:rPr>
  </w:style>
  <w:style w:styleId="Style_19" w:type="paragraph">
    <w:name w:val="toc 1"/>
    <w:next w:val="Style_2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22" w:type="paragraph">
    <w:name w:val="Unresolved Mention"/>
    <w:basedOn w:val="Style_21"/>
    <w:link w:val="Style_22_ch"/>
    <w:rPr>
      <w:color w:val="605E5C"/>
      <w:shd w:fill="E1DFDD" w:val="clear"/>
    </w:rPr>
  </w:style>
  <w:style w:styleId="Style_22_ch" w:type="character">
    <w:name w:val="Unresolved Mention"/>
    <w:basedOn w:val="Style_21_ch"/>
    <w:link w:val="Style_22"/>
    <w:rPr>
      <w:color w:val="605E5C"/>
      <w:shd w:fill="E1DFDD" w:val="clear"/>
    </w:rPr>
  </w:style>
  <w:style w:styleId="Style_23" w:type="paragraph">
    <w:name w:val="Обычный1"/>
    <w:link w:val="Style_23_ch"/>
  </w:style>
  <w:style w:styleId="Style_23_ch" w:type="character">
    <w:name w:val="Обычный1"/>
    <w:link w:val="Style_23"/>
  </w:style>
  <w:style w:styleId="Style_24" w:type="paragraph">
    <w:name w:val="toc 9"/>
    <w:next w:val="Style_2"/>
    <w:link w:val="Style_24_ch"/>
    <w:uiPriority w:val="39"/>
    <w:pPr>
      <w:widowControl w:val="1"/>
      <w:ind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widowControl w:val="1"/>
      <w:ind w:left="1400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Основной шрифт абзаца1"/>
    <w:link w:val="Style_26_ch"/>
  </w:style>
  <w:style w:styleId="Style_26_ch" w:type="character">
    <w:name w:val="Основной шрифт абзаца1"/>
    <w:link w:val="Style_26"/>
  </w:style>
  <w:style w:styleId="Style_27" w:type="paragraph">
    <w:name w:val="toc 5"/>
    <w:next w:val="Style_2"/>
    <w:link w:val="Style_27_ch"/>
    <w:uiPriority w:val="39"/>
    <w:pPr>
      <w:widowControl w:val="1"/>
      <w:ind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8" w:type="paragraph">
    <w:name w:val="Subtitle"/>
    <w:next w:val="Style_2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2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2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Гиперссылка1"/>
    <w:basedOn w:val="Style_26"/>
    <w:link w:val="Style_32_ch"/>
    <w:rPr>
      <w:color w:themeColor="hyperlink" w:val="0563C1"/>
      <w:u w:val="single"/>
    </w:rPr>
  </w:style>
  <w:style w:styleId="Style_32_ch" w:type="character">
    <w:name w:val="Гиперссылка1"/>
    <w:basedOn w:val="Style_26_ch"/>
    <w:link w:val="Style_32"/>
    <w:rPr>
      <w:color w:themeColor="hyperlink" w:val="0563C1"/>
      <w:u w:val="single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2025-11-25T10:57:00Z</dcterms:created>
  <dcterms:modified xsi:type="dcterms:W3CDTF">2026-07-17T01:15:15Z</dcterms:modified>
</cp:coreProperties>
</file>