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Прокуратура разъясняет: требования к планам природоохранных мероприятий</w:t>
      </w:r>
    </w:p>
    <w:p w14:paraId="04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напоминает предприятиям о правилах разработки планов мероприятий по охране окружающей среды.</w:t>
      </w: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обязателен для объектов II и III категорий, если невозможно соблюдать нормативны выбросов и сбросов (ст. 67.1 Федерального закона от 10.01.2002 № 7-ФЗ)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плане должны быть: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перечень природоохранных мероприятий;</w:t>
      </w:r>
    </w:p>
    <w:p w14:paraId="0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сроки их выполнения;</w:t>
      </w:r>
    </w:p>
    <w:p w14:paraId="0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объем и источники финансирования;</w:t>
      </w:r>
    </w:p>
    <w:p w14:paraId="0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ответственные лица.</w:t>
      </w:r>
    </w:p>
    <w:p w14:paraId="0B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 плана – не более 7 лет, продление не допускается. Правила разработки документа закреплены в Приказе Минприроды РФ от 17.03.2025 № 108.</w:t>
      </w:r>
    </w:p>
    <w:p w14:paraId="0C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совместно с надзорными органами контролирует наличие и исполнение планов. При наличии нарушений применяются меры прокурорского реагирования.</w:t>
      </w:r>
    </w:p>
    <w:p w14:paraId="0D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призывает все хозяйствующие субъекты, которые эксплуатируют объекты II и III категорий:</w:t>
      </w:r>
    </w:p>
    <w:p w14:paraId="0E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своевременно проанализировать возможность соблюдения нормативов выбросов и сбросов;</w:t>
      </w:r>
    </w:p>
    <w:p w14:paraId="0F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обеспечить финансирование и исполнение мероприятий в установленные сроки;</w:t>
      </w:r>
    </w:p>
    <w:p w14:paraId="10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ввести документированный учет выполнения плана и быть готовыми представить подтверждающие материалы по запросу надзорных органов.</w:t>
      </w: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Balloon Text"/>
    <w:basedOn w:val="Style_2"/>
    <w:link w:val="Style_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5_ch" w:type="character">
    <w:name w:val="Balloon Text"/>
    <w:basedOn w:val="Style_2_ch"/>
    <w:link w:val="Style_5"/>
    <w:rPr>
      <w:rFonts w:ascii="Segoe UI" w:hAnsi="Segoe UI"/>
      <w:sz w:val="1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Unresolved Mention"/>
    <w:basedOn w:val="Style_8"/>
    <w:link w:val="Style_7_ch"/>
    <w:rPr>
      <w:color w:val="605E5C"/>
      <w:shd w:fill="E1DFDD" w:val="clear"/>
    </w:rPr>
  </w:style>
  <w:style w:styleId="Style_7_ch" w:type="character">
    <w:name w:val="Unresolved Mention"/>
    <w:basedOn w:val="Style_8_ch"/>
    <w:link w:val="Style_7"/>
    <w:rPr>
      <w:color w:val="605E5C"/>
      <w:shd w:fill="E1DFDD" w:val="clear"/>
    </w:rPr>
  </w:style>
  <w:style w:styleId="Style_9" w:type="paragraph">
    <w:name w:val="toc 7"/>
    <w:next w:val="Style_2"/>
    <w:link w:val="Style_9_ch"/>
    <w:uiPriority w:val="39"/>
    <w:pPr>
      <w:widowControl w:val="1"/>
      <w:ind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1"/>
      <w:ind w:firstLine="851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footer"/>
    <w:basedOn w:val="Style_2"/>
    <w:link w:val="Style_1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5_ch" w:type="character">
    <w:name w:val="footer"/>
    <w:basedOn w:val="Style_2_ch"/>
    <w:link w:val="Style_15"/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toc 3"/>
    <w:next w:val="Style_2"/>
    <w:link w:val="Style_17_ch"/>
    <w:uiPriority w:val="39"/>
    <w:pPr>
      <w:widowControl w:val="1"/>
      <w:ind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Гиперссылка1"/>
    <w:basedOn w:val="Style_19"/>
    <w:link w:val="Style_18_ch"/>
    <w:rPr>
      <w:color w:themeColor="hyperlink" w:val="0563C1"/>
      <w:u w:val="single"/>
    </w:rPr>
  </w:style>
  <w:style w:styleId="Style_18_ch" w:type="character">
    <w:name w:val="Гиперссылка1"/>
    <w:basedOn w:val="Style_19_ch"/>
    <w:link w:val="Style_18"/>
    <w:rPr>
      <w:color w:themeColor="hyperlink" w:val="0563C1"/>
      <w:u w:val="single"/>
    </w:rPr>
  </w:style>
  <w:style w:styleId="Style_20" w:type="paragraph">
    <w:name w:val="heading 5"/>
    <w:next w:val="Style_2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1" w:type="paragraph">
    <w:name w:val="heading 1"/>
    <w:next w:val="Style_2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widowControl w:val="1"/>
      <w:ind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2"/>
    <w:link w:val="Style_27_ch"/>
    <w:uiPriority w:val="39"/>
    <w:pPr>
      <w:widowControl w:val="1"/>
      <w:ind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8" w:type="paragraph">
    <w:name w:val="toc 5"/>
    <w:next w:val="Style_2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2026-07-06T07:43:57Z</dcterms:modified>
</cp:coreProperties>
</file>